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92" w:rsidRDefault="00BD1A75" w:rsidP="001F7DD9">
      <w:r>
        <w:rPr>
          <w:noProof/>
          <w:lang w:eastAsia="hu-HU"/>
        </w:rPr>
        <w:t xml:space="preserve"> </w:t>
      </w:r>
      <w:bookmarkStart w:id="0" w:name="_GoBack"/>
      <w:bookmarkEnd w:id="0"/>
    </w:p>
    <w:p w:rsidR="00677484" w:rsidRPr="00677484" w:rsidRDefault="00677484" w:rsidP="00677484">
      <w:pPr>
        <w:tabs>
          <w:tab w:val="left" w:pos="851"/>
          <w:tab w:val="left" w:pos="3969"/>
        </w:tabs>
        <w:contextualSpacing/>
        <w:jc w:val="right"/>
        <w:rPr>
          <w:b/>
          <w:u w:val="single"/>
          <w:lang w:eastAsia="hu-HU"/>
        </w:rPr>
      </w:pPr>
      <w:r>
        <w:rPr>
          <w:b/>
          <w:u w:val="single"/>
          <w:lang w:eastAsia="hu-HU"/>
        </w:rPr>
        <w:t>189</w:t>
      </w:r>
      <w:r w:rsidRPr="00677484">
        <w:rPr>
          <w:b/>
          <w:u w:val="single"/>
          <w:lang w:eastAsia="hu-HU"/>
        </w:rPr>
        <w:t xml:space="preserve">/2020. (09.16.) </w:t>
      </w:r>
      <w:r>
        <w:rPr>
          <w:b/>
          <w:u w:val="single"/>
          <w:lang w:eastAsia="hu-HU"/>
        </w:rPr>
        <w:t>Kt. hatá</w:t>
      </w:r>
      <w:r w:rsidRPr="00677484">
        <w:rPr>
          <w:b/>
          <w:u w:val="single"/>
          <w:lang w:eastAsia="hu-HU"/>
        </w:rPr>
        <w:t>rozat 1. számú melléklete</w:t>
      </w:r>
    </w:p>
    <w:p w:rsidR="00677484" w:rsidRPr="00677484" w:rsidRDefault="00677484" w:rsidP="00677484">
      <w:pPr>
        <w:jc w:val="both"/>
        <w:rPr>
          <w:rFonts w:eastAsia="Calibri"/>
        </w:rPr>
      </w:pPr>
    </w:p>
    <w:p w:rsidR="00677484" w:rsidRPr="00677484" w:rsidRDefault="00677484" w:rsidP="00677484">
      <w:pPr>
        <w:jc w:val="both"/>
        <w:rPr>
          <w:rFonts w:eastAsia="Calibri"/>
        </w:rPr>
      </w:pPr>
    </w:p>
    <w:p w:rsidR="00677484" w:rsidRPr="00677484" w:rsidRDefault="00677484" w:rsidP="00677484">
      <w:pPr>
        <w:jc w:val="center"/>
        <w:rPr>
          <w:rFonts w:eastAsia="Calibri"/>
          <w:b/>
        </w:rPr>
      </w:pPr>
      <w:r w:rsidRPr="00677484">
        <w:rPr>
          <w:rFonts w:eastAsia="Calibri"/>
          <w:b/>
          <w:noProof/>
        </w:rPr>
        <w:t>Balatonfűzfő Város Önkormányzatának Bursa Hungarica Felsőoktatási Önkormányzati Ösztöndíj pályázatainak elbírálási rendjéről szóló</w:t>
      </w:r>
    </w:p>
    <w:p w:rsidR="00677484" w:rsidRPr="00677484" w:rsidRDefault="00677484" w:rsidP="00677484">
      <w:pPr>
        <w:jc w:val="center"/>
        <w:rPr>
          <w:rFonts w:eastAsia="Calibri"/>
          <w:b/>
        </w:rPr>
      </w:pPr>
      <w:r w:rsidRPr="00677484">
        <w:rPr>
          <w:rFonts w:eastAsia="Calibri"/>
          <w:b/>
        </w:rPr>
        <w:t>szabályzata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1. Balatonfűzfő Város Önkormányzata a „Bursa Hungarica” Felsőoktatási Önkormányzati Ösztöndíjpályázat keretében az Önkormányzat költségvetésének terhére ösztöndíjban részesíti azt a balatonfűzfői lakóhellyel rendelkező pályázót, aki megfelel a Bursa Hungarica Felsőoktatási Önkormányzati Ösztöndíjrendszeréről szóló az adott tanévre vonatkozó jogszabályában, továbbá a Bursa Hungarica Felsőoktatási Önkormányzati Ösztöndíjrendszerre vonatkozó Általános Szerződési Feltételekben meghatározott előírásoknak és e szabályzat szabályai szerint szociális rászorultsága megállapítható.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smartTag w:uri="urn:schemas-microsoft-com:office:smarttags" w:element="metricconverter">
        <w:smartTagPr>
          <w:attr w:name="ProductID" w:val="2. A"/>
        </w:smartTagPr>
        <w:r w:rsidRPr="00677484">
          <w:rPr>
            <w:rFonts w:eastAsia="Calibri"/>
          </w:rPr>
          <w:t>2. A</w:t>
        </w:r>
      </w:smartTag>
      <w:r w:rsidRPr="00677484">
        <w:rPr>
          <w:rFonts w:eastAsia="Calibri"/>
        </w:rPr>
        <w:t xml:space="preserve"> támogatás feltételeit az 51/2007. (III.26.) Korm. rendelet és a mindenkori pályázati kiírás tartalmazza. A pályázati űrlap csak a pályázati kiírásban meghatározott kötelező mellékletekkel együtt érvényes. A pályázati kiírásban meghatározott valamely melléklet hiányában a pályázat formai hibásnak minősül. A pályázó a benyújtott pályázatának az elbírálását megelőző 5 napig hiánypótlásra szólítható fel. A hiánypótlás határideje 8 nap, de a hiánypótlás benyújtása nem lépheti túl a pályázatok önkormányzati elbírálási határidejét.   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  <w:snapToGrid w:val="0"/>
        </w:rPr>
      </w:pPr>
      <w:smartTag w:uri="urn:schemas-microsoft-com:office:smarttags" w:element="metricconverter">
        <w:smartTagPr>
          <w:attr w:name="ProductID" w:val="3. A"/>
        </w:smartTagPr>
        <w:r w:rsidRPr="00677484">
          <w:rPr>
            <w:rFonts w:eastAsia="Calibri"/>
          </w:rPr>
          <w:t>3. A</w:t>
        </w:r>
      </w:smartTag>
      <w:r w:rsidRPr="00677484">
        <w:rPr>
          <w:rFonts w:eastAsia="Calibri"/>
        </w:rPr>
        <w:t xml:space="preserve"> pályázatok elbírálása a mindenkori pályázat kiírásban foglaltak, valamint az alábbi pontrendszere alapján történik, e pontrendszer adja a szociális rászorultság alapján ösztöndíjban részesülő pályázóknak az Általános Szerződési Feltételek szerinti rangsorolása: </w:t>
      </w:r>
      <w:r w:rsidRPr="00677484">
        <w:rPr>
          <w:rFonts w:eastAsia="Calibri"/>
          <w:snapToGrid w:val="0"/>
        </w:rPr>
        <w:t xml:space="preserve">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16"/>
        <w:gridCol w:w="2999"/>
        <w:gridCol w:w="2509"/>
      </w:tblGrid>
      <w:tr w:rsidR="00677484" w:rsidRPr="00677484" w:rsidTr="00F12311">
        <w:trPr>
          <w:trHeight w:val="207"/>
        </w:trPr>
        <w:tc>
          <w:tcPr>
            <w:tcW w:w="2640" w:type="dxa"/>
            <w:vMerge w:val="restart"/>
            <w:shd w:val="clear" w:color="auto" w:fill="auto"/>
          </w:tcPr>
          <w:p w:rsidR="00677484" w:rsidRPr="00677484" w:rsidRDefault="00677484" w:rsidP="00677484">
            <w:pPr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A pályázó családjában az egy főre jutó nettó átlagjövedelem:</w:t>
            </w:r>
          </w:p>
        </w:tc>
        <w:tc>
          <w:tcPr>
            <w:tcW w:w="516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1a.</w:t>
            </w: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Nem haladja meg a legkisebb öregségi nyugdíj összegének 150 %-át: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  <w:u w:val="single"/>
              </w:rPr>
            </w:pPr>
            <w:r w:rsidRPr="00677484">
              <w:rPr>
                <w:rFonts w:eastAsia="Calibri"/>
                <w:b/>
                <w:snapToGrid w:val="0"/>
                <w:u w:val="single"/>
              </w:rPr>
              <w:t>30 p</w:t>
            </w:r>
          </w:p>
        </w:tc>
      </w:tr>
      <w:tr w:rsidR="00677484" w:rsidRPr="00677484" w:rsidTr="00F12311">
        <w:trPr>
          <w:trHeight w:val="206"/>
        </w:trPr>
        <w:tc>
          <w:tcPr>
            <w:tcW w:w="2640" w:type="dxa"/>
            <w:vMerge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516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1b.</w:t>
            </w: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Nem haladja meg a legkisebb öregségi nyugdíj 200 %-át:</w:t>
            </w: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  <w:u w:val="single"/>
              </w:rPr>
            </w:pPr>
            <w:r w:rsidRPr="00677484">
              <w:rPr>
                <w:rFonts w:eastAsia="Calibri"/>
                <w:b/>
                <w:snapToGrid w:val="0"/>
                <w:u w:val="single"/>
              </w:rPr>
              <w:t>25 p</w:t>
            </w:r>
          </w:p>
        </w:tc>
      </w:tr>
      <w:tr w:rsidR="00677484" w:rsidRPr="00677484" w:rsidTr="00F12311">
        <w:trPr>
          <w:trHeight w:val="206"/>
        </w:trPr>
        <w:tc>
          <w:tcPr>
            <w:tcW w:w="2640" w:type="dxa"/>
            <w:vMerge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516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1c.</w:t>
            </w: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Nem haladja meg a legkisebb öregségi nyugdíj 250 %-át:</w:t>
            </w: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  <w:u w:val="single"/>
              </w:rPr>
            </w:pPr>
            <w:r w:rsidRPr="00677484">
              <w:rPr>
                <w:rFonts w:eastAsia="Calibri"/>
                <w:b/>
                <w:snapToGrid w:val="0"/>
                <w:u w:val="single"/>
              </w:rPr>
              <w:t>20p</w:t>
            </w:r>
          </w:p>
        </w:tc>
      </w:tr>
      <w:tr w:rsidR="00677484" w:rsidRPr="00677484" w:rsidTr="00F12311">
        <w:trPr>
          <w:trHeight w:val="206"/>
        </w:trPr>
        <w:tc>
          <w:tcPr>
            <w:tcW w:w="2640" w:type="dxa"/>
            <w:vMerge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516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1d.</w:t>
            </w: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Nem haladja meg az öregség nyugdíj legkisebb összegének 300 %-át:</w:t>
            </w: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  <w:u w:val="single"/>
              </w:rPr>
            </w:pPr>
            <w:r w:rsidRPr="00677484">
              <w:rPr>
                <w:rFonts w:eastAsia="Calibri"/>
                <w:b/>
                <w:snapToGrid w:val="0"/>
                <w:u w:val="single"/>
              </w:rPr>
              <w:t>15 p</w:t>
            </w:r>
          </w:p>
        </w:tc>
      </w:tr>
      <w:tr w:rsidR="00677484" w:rsidRPr="00677484" w:rsidTr="00F12311">
        <w:trPr>
          <w:trHeight w:val="206"/>
        </w:trPr>
        <w:tc>
          <w:tcPr>
            <w:tcW w:w="2640" w:type="dxa"/>
            <w:vMerge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516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 xml:space="preserve">1e. </w:t>
            </w: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Nem haladja meg az öregség nyugdíj legkisebb összegének 400 %-át: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  <w:u w:val="single"/>
              </w:rPr>
            </w:pPr>
            <w:r w:rsidRPr="00677484">
              <w:rPr>
                <w:rFonts w:eastAsia="Calibri"/>
                <w:b/>
                <w:snapToGrid w:val="0"/>
                <w:u w:val="single"/>
              </w:rPr>
              <w:t>10p</w:t>
            </w:r>
          </w:p>
        </w:tc>
      </w:tr>
      <w:tr w:rsidR="00677484" w:rsidRPr="00677484" w:rsidTr="00F12311">
        <w:trPr>
          <w:trHeight w:val="135"/>
        </w:trPr>
        <w:tc>
          <w:tcPr>
            <w:tcW w:w="3156" w:type="dxa"/>
            <w:gridSpan w:val="2"/>
            <w:vMerge w:val="restart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 xml:space="preserve">2.Az </w:t>
            </w:r>
            <w:r w:rsidRPr="00677484">
              <w:rPr>
                <w:rFonts w:eastAsia="Calibri"/>
                <w:b/>
                <w:snapToGrid w:val="0"/>
                <w:u w:val="single"/>
              </w:rPr>
              <w:t>1a;1b;1c;1d;1e feltétel teljesülése esetén ha a</w:t>
            </w:r>
            <w:r w:rsidRPr="00677484">
              <w:rPr>
                <w:rFonts w:eastAsia="Calibri"/>
                <w:snapToGrid w:val="0"/>
              </w:rPr>
              <w:t xml:space="preserve"> pályázó</w:t>
            </w: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b/>
                <w:snapToGrid w:val="0"/>
                <w:u w:val="single"/>
              </w:rPr>
            </w:pP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árva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t>5 p</w:t>
            </w:r>
          </w:p>
        </w:tc>
      </w:tr>
      <w:tr w:rsidR="00677484" w:rsidRPr="00677484" w:rsidTr="00F12311">
        <w:trPr>
          <w:trHeight w:val="135"/>
        </w:trPr>
        <w:tc>
          <w:tcPr>
            <w:tcW w:w="3156" w:type="dxa"/>
            <w:gridSpan w:val="2"/>
            <w:vMerge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félárva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t>3 p</w:t>
            </w:r>
          </w:p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</w:p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</w:p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</w:p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</w:p>
        </w:tc>
      </w:tr>
      <w:tr w:rsidR="00677484" w:rsidRPr="00677484" w:rsidTr="00F12311">
        <w:tc>
          <w:tcPr>
            <w:tcW w:w="3156" w:type="dxa"/>
            <w:gridSpan w:val="2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 xml:space="preserve">3. Az </w:t>
            </w:r>
            <w:r w:rsidRPr="00677484">
              <w:rPr>
                <w:rFonts w:eastAsia="Calibri"/>
                <w:b/>
                <w:snapToGrid w:val="0"/>
                <w:u w:val="single"/>
              </w:rPr>
              <w:t>1a;1b;1c;1d;1e feltétel teljesülése esetén a</w:t>
            </w:r>
            <w:r w:rsidRPr="00677484">
              <w:rPr>
                <w:rFonts w:eastAsia="Calibri"/>
                <w:snapToGrid w:val="0"/>
              </w:rPr>
              <w:t xml:space="preserve"> pályázó tartósan beteg/fogyatékossággal élő, ha</w:t>
            </w: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-a fogyatékos személyek jogairól és esélyegyenlőségük biztosításáról szóló 1998. évi XXVI. tv. alapján fogyatékossági támogatásban részesül,</w:t>
            </w: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- a rokkantsági járadékról szóló 83/1987. (XII.27.) MT rendelet alapján rokkantsági járadékban részesül,</w:t>
            </w: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- a családok támogatásáról szóló 1998. évi LXXXIV. törvény szerint saját jogán magasabb összegű családi pótlékban részesül,</w:t>
            </w: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- a szociális igazgatásról és szociális ellátásokról szóló 1993. III. tv. szerint súlyosan fogyatékos személynek minősül,</w:t>
            </w:r>
          </w:p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 xml:space="preserve">- a súlyos mozgáskorlátozott személyek közlekedési kedvezményeiről szóló 102/2011. (VI.29.) Korm. rendelet alapján súlyos </w:t>
            </w:r>
            <w:r w:rsidRPr="00677484">
              <w:rPr>
                <w:rFonts w:eastAsia="Calibri"/>
                <w:snapToGrid w:val="0"/>
              </w:rPr>
              <w:lastRenderedPageBreak/>
              <w:t xml:space="preserve">mozgáskorlátozott személynek mindősül. 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lastRenderedPageBreak/>
              <w:t>10 p</w:t>
            </w:r>
          </w:p>
        </w:tc>
      </w:tr>
      <w:tr w:rsidR="00677484" w:rsidRPr="00677484" w:rsidTr="00F12311">
        <w:trPr>
          <w:trHeight w:val="54"/>
        </w:trPr>
        <w:tc>
          <w:tcPr>
            <w:tcW w:w="3156" w:type="dxa"/>
            <w:gridSpan w:val="2"/>
            <w:vMerge w:val="restart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 xml:space="preserve">4. Az </w:t>
            </w:r>
            <w:r w:rsidRPr="00677484">
              <w:rPr>
                <w:rFonts w:eastAsia="Calibri"/>
                <w:b/>
                <w:snapToGrid w:val="0"/>
                <w:u w:val="single"/>
              </w:rPr>
              <w:t>1a;1b;1c; 1d; 1e feltétel teljesülése esetén a</w:t>
            </w:r>
            <w:r w:rsidRPr="00677484">
              <w:rPr>
                <w:rFonts w:eastAsia="Calibri"/>
                <w:snapToGrid w:val="0"/>
              </w:rPr>
              <w:t xml:space="preserve"> pályázó szülője/gondviselője háztartásában (amennyiben közös háztartásban élnek)</w:t>
            </w: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 xml:space="preserve"> további gyermeket nevel: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t xml:space="preserve"> gyermekenként 2 p</w:t>
            </w:r>
          </w:p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t>(max 10 p)</w:t>
            </w:r>
          </w:p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</w:p>
        </w:tc>
      </w:tr>
      <w:tr w:rsidR="00677484" w:rsidRPr="00677484" w:rsidTr="00F12311">
        <w:trPr>
          <w:trHeight w:val="54"/>
        </w:trPr>
        <w:tc>
          <w:tcPr>
            <w:tcW w:w="3156" w:type="dxa"/>
            <w:gridSpan w:val="2"/>
            <w:vMerge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 xml:space="preserve">a pályázón kívül további gyermeke felsőoktatásban tanul: 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t xml:space="preserve"> gyermekenként további 1 p</w:t>
            </w:r>
          </w:p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</w:p>
        </w:tc>
      </w:tr>
      <w:tr w:rsidR="00677484" w:rsidRPr="00677484" w:rsidTr="00F12311">
        <w:trPr>
          <w:trHeight w:val="54"/>
        </w:trPr>
        <w:tc>
          <w:tcPr>
            <w:tcW w:w="3156" w:type="dxa"/>
            <w:gridSpan w:val="2"/>
            <w:vMerge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 xml:space="preserve">egyedül neveli gyermekét: 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t>3 p</w:t>
            </w:r>
          </w:p>
        </w:tc>
      </w:tr>
      <w:tr w:rsidR="00677484" w:rsidRPr="00677484" w:rsidTr="00F12311">
        <w:trPr>
          <w:trHeight w:val="135"/>
        </w:trPr>
        <w:tc>
          <w:tcPr>
            <w:tcW w:w="3156" w:type="dxa"/>
            <w:gridSpan w:val="2"/>
            <w:vMerge w:val="restart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 xml:space="preserve">5. Az </w:t>
            </w:r>
            <w:r w:rsidRPr="00677484">
              <w:rPr>
                <w:rFonts w:eastAsia="Calibri"/>
                <w:b/>
                <w:snapToGrid w:val="0"/>
                <w:u w:val="single"/>
              </w:rPr>
              <w:t>1a;1b;1c; 1d;1e;feltétel teljesülése esetén a</w:t>
            </w:r>
            <w:r w:rsidRPr="00677484">
              <w:rPr>
                <w:rFonts w:eastAsia="Calibri"/>
                <w:snapToGrid w:val="0"/>
              </w:rPr>
              <w:t xml:space="preserve">  pályázó családtagja (amennyiben közös háztartásban élnek)</w:t>
            </w: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tartósan beteg vagy rokkant, ha rehabilitációs ellátásban, vagy magasabb összegű családi pótlékban részesül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t>10 p</w:t>
            </w:r>
          </w:p>
        </w:tc>
      </w:tr>
      <w:tr w:rsidR="00677484" w:rsidRPr="00677484" w:rsidTr="00F12311">
        <w:trPr>
          <w:trHeight w:val="1245"/>
        </w:trPr>
        <w:tc>
          <w:tcPr>
            <w:tcW w:w="3156" w:type="dxa"/>
            <w:gridSpan w:val="2"/>
            <w:vMerge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tartósan beteg vagy rokkant, ha rokkantsági ellátásban, rokkantsági járadékban, fogyatékossági támogatásban, vakok személyi járadékában, vagy egészségkárosodott személyként aktív korúak ellátásában részesül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t>10 p</w:t>
            </w:r>
          </w:p>
        </w:tc>
      </w:tr>
      <w:tr w:rsidR="00677484" w:rsidRPr="00677484" w:rsidTr="00F12311">
        <w:trPr>
          <w:trHeight w:val="1245"/>
        </w:trPr>
        <w:tc>
          <w:tcPr>
            <w:tcW w:w="3156" w:type="dxa"/>
            <w:gridSpan w:val="2"/>
            <w:vMerge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</w:p>
        </w:tc>
        <w:tc>
          <w:tcPr>
            <w:tcW w:w="299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rPr>
                <w:rFonts w:eastAsia="Calibri"/>
                <w:snapToGrid w:val="0"/>
              </w:rPr>
            </w:pPr>
            <w:r w:rsidRPr="00677484">
              <w:rPr>
                <w:rFonts w:eastAsia="Calibri"/>
                <w:snapToGrid w:val="0"/>
              </w:rPr>
              <w:t>legalább 6 hónapja álláskeresőként van nyilvántartva</w:t>
            </w:r>
          </w:p>
        </w:tc>
        <w:tc>
          <w:tcPr>
            <w:tcW w:w="2509" w:type="dxa"/>
            <w:shd w:val="clear" w:color="auto" w:fill="auto"/>
          </w:tcPr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b/>
                <w:snapToGrid w:val="0"/>
              </w:rPr>
            </w:pPr>
            <w:r w:rsidRPr="00677484">
              <w:rPr>
                <w:rFonts w:eastAsia="Calibri"/>
                <w:b/>
                <w:snapToGrid w:val="0"/>
              </w:rPr>
              <w:t>2 p</w:t>
            </w:r>
          </w:p>
          <w:p w:rsidR="00677484" w:rsidRPr="00677484" w:rsidRDefault="00677484" w:rsidP="00677484">
            <w:pPr>
              <w:spacing w:after="160" w:line="259" w:lineRule="auto"/>
              <w:jc w:val="center"/>
              <w:rPr>
                <w:rFonts w:eastAsia="Calibri"/>
                <w:snapToGrid w:val="0"/>
              </w:rPr>
            </w:pPr>
          </w:p>
        </w:tc>
      </w:tr>
    </w:tbl>
    <w:p w:rsidR="00677484" w:rsidRPr="00677484" w:rsidRDefault="00677484" w:rsidP="00677484">
      <w:pPr>
        <w:spacing w:after="160" w:line="259" w:lineRule="auto"/>
        <w:jc w:val="both"/>
        <w:rPr>
          <w:rFonts w:eastAsia="Calibri"/>
          <w:snapToGrid w:val="0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4. Az a pályázó, aki nem ér el pontot, azaz pontszáma 0, önkormányzati ösztöndíjban nem részesülhet.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5. A pontszámok a feltételeknek megfelelően összeadódnak. Az önkormányzati ösztöndíj elnyerője a döntéshozó által meghatározott ponthatárt elért pályázó lehet.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       </w:t>
      </w:r>
      <w:r w:rsidRPr="00677484">
        <w:rPr>
          <w:rFonts w:eastAsia="Calibri"/>
        </w:rPr>
        <w:tab/>
      </w:r>
      <w:r w:rsidRPr="00677484">
        <w:rPr>
          <w:rFonts w:eastAsia="Calibri"/>
        </w:rPr>
        <w:tab/>
      </w:r>
      <w:r w:rsidRPr="00677484">
        <w:rPr>
          <w:rFonts w:eastAsia="Calibri"/>
        </w:rPr>
        <w:tab/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6.  A 3. pontban meghatározott tényeket az alábbi okiratok, nyilatkozatok, igazolások becsatolásával kell igazolni: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  <w:noProof/>
        </w:rPr>
      </w:pPr>
      <w:r w:rsidRPr="00677484">
        <w:rPr>
          <w:rFonts w:eastAsia="Calibri"/>
          <w:noProof/>
        </w:rPr>
        <w:t>a)</w:t>
      </w:r>
      <w:r w:rsidRPr="00677484">
        <w:rPr>
          <w:rFonts w:eastAsia="Calibri"/>
          <w:b/>
          <w:noProof/>
        </w:rPr>
        <w:t xml:space="preserve"> </w:t>
      </w:r>
      <w:r w:rsidRPr="00677484">
        <w:rPr>
          <w:rFonts w:eastAsia="Calibri"/>
          <w:noProof/>
        </w:rPr>
        <w:t>a pályázó lakcíme szerinti ingatlanban életvitelszerűen együtt lakó, ott bejelentett lakóhellyel vagy tartózkodási hellyel rendelkező személyekről igazolás,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lastRenderedPageBreak/>
        <w:t xml:space="preserve">b) pályázó és a vele egy háztartásban élők (a pályázó lakóhelye szerinti lakásban életvitelszerűen együtt lakó, ott bejelentett lakóhellyel vagy tartózkodási hellyel rendelkező személyek) egy főre jutó havi nettó jövedelemének összegét: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>ba) a havonta rendszeresen mérhető jövedelmeknél a pályázat benyújtását megelőző 3 hónap átlagáról;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>bb) a nem havi rendszerességgel szerzett, illetve vállalkozásból származó jövedelem esetén a pályázat benyújtásának hónapját közvetlenül megelőző tizenkét hónap átlagáról jövedelemigazolás;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bc) jövedelemmel nem rendelkező személy esetén az állami foglalkoztató szerv igazolását az álláskeresési nyilvántartásba vételről,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>c) halotti anyakönyvi kivonat az árvaság, félárvaság igazolására,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>d) a születési anyakönyvi kivonat az eltartott kiskorúakról,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>e)  gyámhatóság vagy a bíróság jogerős döntése,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>f) a pályázó vagy családja részére folyósított ellátásokról szóló határozat/igazolás,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>g) a felsőoktatási intézményben tanuló, háztartásban élő további személy esetén a felsőoktatási     intézmény által kitöltött eredeti hallgatói jogviszony-igazolás.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7. Az „A”  és „B” típusú pályázatot elbíráló a határidőn belül benyújtott, formailag megfelelő pályázat elbírálása során a pályázó szociális rászorultsága alapján a pályázót minimum 3.000,- maximum 15.000,-forint havi támogatásban részesíti, vagy a pályázó igényét elutasítja. A megítélt támogatásnak havonta azonos összegűnek és 100,- forinttal maradék nélkül oszthatónak kell lennie.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8. Az e szabályzat szerinti „B” típusú pályázat alapján támogatott hallgatók szociális rászorultságát évente felül kell vizsgálni.  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9. A pályázatokat a Balatonfűzfői Közös Önkormányzati Hivatalhoz kell benyújtani.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10. Az ösztöndíjak folyósítása a vonatkozó jogszabályoknak és a mindenkori pályázati kiírásnak megfelelően történik.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>11.   Záró rendelkezések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Ez a szabályzat a 2021. évi pályázat kiírásának napján lép hatályba. </w:t>
      </w:r>
    </w:p>
    <w:p w:rsidR="00677484" w:rsidRPr="00677484" w:rsidRDefault="00677484" w:rsidP="00677484">
      <w:pPr>
        <w:spacing w:after="160" w:line="259" w:lineRule="auto"/>
        <w:jc w:val="both"/>
        <w:rPr>
          <w:rFonts w:eastAsia="Calibri"/>
        </w:rPr>
      </w:pPr>
      <w:r w:rsidRPr="00677484">
        <w:rPr>
          <w:rFonts w:eastAsia="Calibri"/>
        </w:rPr>
        <w:t xml:space="preserve">Rendelkezéseit minden olyan alkalommal, amikor Balatonfűzfő Város Önkormányzata csatlakozik a Bursa Hungarica Felsőoktatási Önkormányzati Ösztöndíjpályázathoz, az </w:t>
      </w:r>
      <w:r w:rsidRPr="00677484">
        <w:rPr>
          <w:rFonts w:eastAsia="Calibri"/>
        </w:rPr>
        <w:lastRenderedPageBreak/>
        <w:t>ösztöndíj megítélése alkalmával alkalmazni kell; az ösztöndíj-pályázathoz való csatlakozást megelőzően a szabályzat felülvizsgálata minden évben megtörténik.</w:t>
      </w:r>
    </w:p>
    <w:p w:rsidR="00677484" w:rsidRPr="00677484" w:rsidRDefault="00677484" w:rsidP="00677484">
      <w:pPr>
        <w:jc w:val="both"/>
        <w:rPr>
          <w:rFonts w:eastAsia="Calibri"/>
        </w:rPr>
      </w:pPr>
    </w:p>
    <w:p w:rsidR="00151F92" w:rsidRDefault="00151F92" w:rsidP="001F7DD9"/>
    <w:p w:rsidR="00DF3810" w:rsidRDefault="00DF3810" w:rsidP="00D5687A">
      <w:pPr>
        <w:jc w:val="both"/>
      </w:pPr>
    </w:p>
    <w:sectPr w:rsidR="00DF3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21" w:rsidRDefault="001B6921" w:rsidP="00335055">
      <w:r>
        <w:separator/>
      </w:r>
    </w:p>
  </w:endnote>
  <w:endnote w:type="continuationSeparator" w:id="0">
    <w:p w:rsidR="001B6921" w:rsidRDefault="001B6921" w:rsidP="0033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21" w:rsidRDefault="001B6921" w:rsidP="00335055">
      <w:r>
        <w:separator/>
      </w:r>
    </w:p>
  </w:footnote>
  <w:footnote w:type="continuationSeparator" w:id="0">
    <w:p w:rsidR="001B6921" w:rsidRDefault="001B6921" w:rsidP="0033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B13A6"/>
    <w:multiLevelType w:val="hybridMultilevel"/>
    <w:tmpl w:val="759082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6A2"/>
    <w:multiLevelType w:val="hybridMultilevel"/>
    <w:tmpl w:val="8D1293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C425E"/>
    <w:multiLevelType w:val="multilevel"/>
    <w:tmpl w:val="9CB8D5E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58146A7"/>
    <w:multiLevelType w:val="hybridMultilevel"/>
    <w:tmpl w:val="8D7C5D58"/>
    <w:lvl w:ilvl="0" w:tplc="E78EB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43A67"/>
    <w:multiLevelType w:val="hybridMultilevel"/>
    <w:tmpl w:val="31168A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D0592"/>
    <w:multiLevelType w:val="hybridMultilevel"/>
    <w:tmpl w:val="3998F4B0"/>
    <w:lvl w:ilvl="0" w:tplc="2CD08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A308B"/>
    <w:multiLevelType w:val="hybridMultilevel"/>
    <w:tmpl w:val="2C58AA7A"/>
    <w:lvl w:ilvl="0" w:tplc="1DE2A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F3543"/>
    <w:multiLevelType w:val="hybridMultilevel"/>
    <w:tmpl w:val="FA6A47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7A"/>
    <w:rsid w:val="00004BA4"/>
    <w:rsid w:val="000350E4"/>
    <w:rsid w:val="00052C2F"/>
    <w:rsid w:val="00063468"/>
    <w:rsid w:val="00091AE9"/>
    <w:rsid w:val="000B0566"/>
    <w:rsid w:val="000B26A9"/>
    <w:rsid w:val="000C494A"/>
    <w:rsid w:val="001313F8"/>
    <w:rsid w:val="001518D5"/>
    <w:rsid w:val="00151F92"/>
    <w:rsid w:val="001837E8"/>
    <w:rsid w:val="001B24C7"/>
    <w:rsid w:val="001B6921"/>
    <w:rsid w:val="001C26F1"/>
    <w:rsid w:val="001E2A65"/>
    <w:rsid w:val="001F7DD9"/>
    <w:rsid w:val="00204A9F"/>
    <w:rsid w:val="002434F6"/>
    <w:rsid w:val="00253061"/>
    <w:rsid w:val="00253267"/>
    <w:rsid w:val="002551EF"/>
    <w:rsid w:val="00255A06"/>
    <w:rsid w:val="00263D75"/>
    <w:rsid w:val="00274DFF"/>
    <w:rsid w:val="002871BF"/>
    <w:rsid w:val="002A3980"/>
    <w:rsid w:val="002B483A"/>
    <w:rsid w:val="002D208D"/>
    <w:rsid w:val="002D41DA"/>
    <w:rsid w:val="002E624D"/>
    <w:rsid w:val="002E6A4D"/>
    <w:rsid w:val="002F56E8"/>
    <w:rsid w:val="002F7789"/>
    <w:rsid w:val="003011E0"/>
    <w:rsid w:val="00321AA0"/>
    <w:rsid w:val="00335055"/>
    <w:rsid w:val="00345567"/>
    <w:rsid w:val="0036107A"/>
    <w:rsid w:val="00373A5C"/>
    <w:rsid w:val="00386785"/>
    <w:rsid w:val="00387C26"/>
    <w:rsid w:val="003A1E0F"/>
    <w:rsid w:val="0040191A"/>
    <w:rsid w:val="00404275"/>
    <w:rsid w:val="00412906"/>
    <w:rsid w:val="00450C92"/>
    <w:rsid w:val="0045656A"/>
    <w:rsid w:val="0047680B"/>
    <w:rsid w:val="004832DE"/>
    <w:rsid w:val="004A6D9C"/>
    <w:rsid w:val="00525759"/>
    <w:rsid w:val="00542CC3"/>
    <w:rsid w:val="00576837"/>
    <w:rsid w:val="005A37E7"/>
    <w:rsid w:val="005B0FD1"/>
    <w:rsid w:val="005B208D"/>
    <w:rsid w:val="005D0698"/>
    <w:rsid w:val="006127D2"/>
    <w:rsid w:val="00633CDE"/>
    <w:rsid w:val="00661A77"/>
    <w:rsid w:val="00671551"/>
    <w:rsid w:val="00677484"/>
    <w:rsid w:val="006D4BAD"/>
    <w:rsid w:val="006E22D4"/>
    <w:rsid w:val="006F3F74"/>
    <w:rsid w:val="00706258"/>
    <w:rsid w:val="0072772A"/>
    <w:rsid w:val="00761450"/>
    <w:rsid w:val="007719D7"/>
    <w:rsid w:val="00791A65"/>
    <w:rsid w:val="00793D69"/>
    <w:rsid w:val="007A14E2"/>
    <w:rsid w:val="007E5534"/>
    <w:rsid w:val="00800EC8"/>
    <w:rsid w:val="008403FD"/>
    <w:rsid w:val="00852082"/>
    <w:rsid w:val="008567C7"/>
    <w:rsid w:val="00864FE3"/>
    <w:rsid w:val="00877098"/>
    <w:rsid w:val="0088750E"/>
    <w:rsid w:val="008E15FC"/>
    <w:rsid w:val="008E6628"/>
    <w:rsid w:val="009048B6"/>
    <w:rsid w:val="00924340"/>
    <w:rsid w:val="00950F36"/>
    <w:rsid w:val="00954C3E"/>
    <w:rsid w:val="00980C04"/>
    <w:rsid w:val="009A1F47"/>
    <w:rsid w:val="009A27E7"/>
    <w:rsid w:val="009B251A"/>
    <w:rsid w:val="00A358D8"/>
    <w:rsid w:val="00A65B2D"/>
    <w:rsid w:val="00A7447E"/>
    <w:rsid w:val="00A90490"/>
    <w:rsid w:val="00A941C1"/>
    <w:rsid w:val="00AB6526"/>
    <w:rsid w:val="00AF449B"/>
    <w:rsid w:val="00B247ED"/>
    <w:rsid w:val="00B66DFB"/>
    <w:rsid w:val="00BB672D"/>
    <w:rsid w:val="00BC11A4"/>
    <w:rsid w:val="00BD1A75"/>
    <w:rsid w:val="00BE7E24"/>
    <w:rsid w:val="00BF1381"/>
    <w:rsid w:val="00C1566D"/>
    <w:rsid w:val="00C61E99"/>
    <w:rsid w:val="00C74C8E"/>
    <w:rsid w:val="00C8376A"/>
    <w:rsid w:val="00CA72DD"/>
    <w:rsid w:val="00CC36E6"/>
    <w:rsid w:val="00CD19C5"/>
    <w:rsid w:val="00D1279B"/>
    <w:rsid w:val="00D5687A"/>
    <w:rsid w:val="00D61FF5"/>
    <w:rsid w:val="00D6349B"/>
    <w:rsid w:val="00D769BB"/>
    <w:rsid w:val="00DD00B3"/>
    <w:rsid w:val="00DF3810"/>
    <w:rsid w:val="00E12FF0"/>
    <w:rsid w:val="00E14F0F"/>
    <w:rsid w:val="00E70517"/>
    <w:rsid w:val="00E81358"/>
    <w:rsid w:val="00E841D9"/>
    <w:rsid w:val="00E90BC7"/>
    <w:rsid w:val="00EA0077"/>
    <w:rsid w:val="00EA2A49"/>
    <w:rsid w:val="00EA5282"/>
    <w:rsid w:val="00EC3600"/>
    <w:rsid w:val="00EC557D"/>
    <w:rsid w:val="00EF372A"/>
    <w:rsid w:val="00F54C13"/>
    <w:rsid w:val="00FE32D7"/>
    <w:rsid w:val="00FE69DE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69D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7447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447E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Szvegtrzs21">
    <w:name w:val="Szövegtörzs 21"/>
    <w:basedOn w:val="Norml"/>
    <w:rsid w:val="002871BF"/>
    <w:pPr>
      <w:overflowPunct w:val="0"/>
      <w:autoSpaceDE w:val="0"/>
      <w:autoSpaceDN w:val="0"/>
      <w:adjustRightInd w:val="0"/>
      <w:jc w:val="both"/>
    </w:pPr>
    <w:rPr>
      <w:szCs w:val="20"/>
      <w:lang w:eastAsia="hu-HU"/>
    </w:rPr>
  </w:style>
  <w:style w:type="paragraph" w:styleId="Szvegblokk">
    <w:name w:val="Block Text"/>
    <w:basedOn w:val="Norml"/>
    <w:rsid w:val="00EC557D"/>
    <w:pPr>
      <w:ind w:left="1134" w:right="1134"/>
      <w:jc w:val="both"/>
    </w:pPr>
    <w:rPr>
      <w:lang w:eastAsia="hu-HU"/>
    </w:rPr>
  </w:style>
  <w:style w:type="paragraph" w:customStyle="1" w:styleId="Standard">
    <w:name w:val="Standard"/>
    <w:rsid w:val="002551EF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1F7D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5649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2020-09-24T11:16:00Z</dcterms:created>
  <dcterms:modified xsi:type="dcterms:W3CDTF">2020-09-24T11:17:00Z</dcterms:modified>
</cp:coreProperties>
</file>